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42" w:rsidRDefault="00014E42" w:rsidP="00E80833">
      <w:pPr>
        <w:tabs>
          <w:tab w:val="left" w:pos="3060"/>
        </w:tabs>
        <w:ind w:left="-284"/>
        <w:jc w:val="center"/>
        <w:rPr>
          <w:b/>
          <w:sz w:val="28"/>
          <w:szCs w:val="28"/>
        </w:rPr>
      </w:pPr>
      <w:r w:rsidRPr="00014E42">
        <w:rPr>
          <w:b/>
          <w:sz w:val="28"/>
          <w:szCs w:val="28"/>
        </w:rPr>
        <w:t xml:space="preserve">Робочий план та програма стажування </w:t>
      </w:r>
      <w:r w:rsidR="00E80833">
        <w:rPr>
          <w:b/>
          <w:sz w:val="28"/>
          <w:szCs w:val="28"/>
        </w:rPr>
        <w:t>педагогічних працівників</w:t>
      </w:r>
      <w:r w:rsidRPr="00014E42">
        <w:rPr>
          <w:b/>
          <w:sz w:val="28"/>
          <w:szCs w:val="28"/>
        </w:rPr>
        <w:t xml:space="preserve"> </w:t>
      </w:r>
      <w:r w:rsidR="00E80833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014E42">
        <w:rPr>
          <w:b/>
          <w:sz w:val="28"/>
          <w:szCs w:val="28"/>
        </w:rPr>
        <w:t xml:space="preserve">підтвердження робітничої кваліфікації </w:t>
      </w:r>
      <w:r w:rsidR="00E80833">
        <w:rPr>
          <w:b/>
          <w:sz w:val="28"/>
          <w:szCs w:val="28"/>
        </w:rPr>
        <w:t>е</w:t>
      </w:r>
      <w:r w:rsidRPr="00014E42">
        <w:rPr>
          <w:b/>
          <w:sz w:val="28"/>
          <w:szCs w:val="28"/>
        </w:rPr>
        <w:t>лектромонтер з ремонту та обслуговування електроустаткування</w:t>
      </w:r>
      <w:r w:rsidR="00E80833">
        <w:rPr>
          <w:b/>
          <w:sz w:val="28"/>
          <w:szCs w:val="28"/>
        </w:rPr>
        <w:t xml:space="preserve"> </w:t>
      </w:r>
      <w:r w:rsidRPr="00014E42">
        <w:rPr>
          <w:b/>
          <w:sz w:val="28"/>
          <w:szCs w:val="28"/>
        </w:rPr>
        <w:t>2</w:t>
      </w:r>
      <w:r w:rsidR="00E80833">
        <w:rPr>
          <w:b/>
          <w:sz w:val="28"/>
          <w:szCs w:val="28"/>
        </w:rPr>
        <w:t>-го</w:t>
      </w:r>
      <w:r w:rsidRPr="00014E42">
        <w:rPr>
          <w:b/>
          <w:sz w:val="28"/>
          <w:szCs w:val="28"/>
        </w:rPr>
        <w:t xml:space="preserve"> розряд</w:t>
      </w:r>
      <w:r w:rsidR="00AC4E33">
        <w:rPr>
          <w:b/>
          <w:sz w:val="28"/>
          <w:szCs w:val="28"/>
        </w:rPr>
        <w:t>у</w:t>
      </w:r>
    </w:p>
    <w:p w:rsidR="00B57D6A" w:rsidRDefault="00B57D6A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462"/>
      </w:tblGrid>
      <w:tr w:rsidR="00014E42" w:rsidTr="00014E42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Блок/Тема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</w:t>
            </w:r>
          </w:p>
        </w:tc>
      </w:tr>
      <w:tr w:rsidR="00014E42" w:rsidTr="00014E42">
        <w:tc>
          <w:tcPr>
            <w:tcW w:w="846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014E42" w:rsidRDefault="00014E42" w:rsidP="00014E4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-теоретичний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14E42" w:rsidRPr="00B57D6A" w:rsidRDefault="00B57D6A" w:rsidP="00E80833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57D6A">
              <w:rPr>
                <w:rFonts w:ascii="Times New Roman CYR" w:hAnsi="Times New Roman CYR"/>
                <w:sz w:val="28"/>
                <w:szCs w:val="28"/>
              </w:rPr>
              <w:t>Будова, технічне обслуговування та ремонт електричних апаратів</w:t>
            </w:r>
          </w:p>
        </w:tc>
        <w:tc>
          <w:tcPr>
            <w:tcW w:w="1462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14E42" w:rsidRPr="00B57D6A" w:rsidRDefault="00B57D6A" w:rsidP="00E80833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Будова, монтаж, технічне обслуговування та ремонт освітлювальних електроустановок</w:t>
            </w:r>
          </w:p>
        </w:tc>
        <w:tc>
          <w:tcPr>
            <w:tcW w:w="1462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7</w:t>
            </w:r>
          </w:p>
        </w:tc>
      </w:tr>
      <w:tr w:rsidR="00014E42" w:rsidTr="00014E42">
        <w:tc>
          <w:tcPr>
            <w:tcW w:w="846" w:type="dxa"/>
          </w:tcPr>
          <w:p w:rsidR="00014E42" w:rsidRPr="00B57D6A" w:rsidRDefault="00014E42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14E42" w:rsidRPr="00B57D6A" w:rsidRDefault="00B57D6A" w:rsidP="00B57D6A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Професійно</w:t>
            </w:r>
            <w:proofErr w:type="spellEnd"/>
            <w:r>
              <w:rPr>
                <w:b/>
                <w:sz w:val="28"/>
                <w:szCs w:val="28"/>
              </w:rPr>
              <w:t>-практичний блок</w:t>
            </w:r>
          </w:p>
        </w:tc>
        <w:tc>
          <w:tcPr>
            <w:tcW w:w="1462" w:type="dxa"/>
          </w:tcPr>
          <w:p w:rsidR="00014E42" w:rsidRDefault="00014E42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E42" w:rsidTr="00014E42">
        <w:tc>
          <w:tcPr>
            <w:tcW w:w="846" w:type="dxa"/>
          </w:tcPr>
          <w:p w:rsidR="00014E42" w:rsidRPr="00B57D6A" w:rsidRDefault="00B57D6A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B57D6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14E42" w:rsidRPr="004E5DE4" w:rsidRDefault="004E5DE4" w:rsidP="00E8083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Відпрацювання практичних</w:t>
            </w:r>
            <w:r w:rsidRPr="004E5DE4">
              <w:rPr>
                <w:sz w:val="28"/>
                <w:szCs w:val="28"/>
              </w:rPr>
              <w:t xml:space="preserve"> прийом</w:t>
            </w:r>
            <w:r>
              <w:rPr>
                <w:sz w:val="28"/>
                <w:szCs w:val="28"/>
              </w:rPr>
              <w:t>ів</w:t>
            </w:r>
            <w:r w:rsidRPr="004E5DE4">
              <w:rPr>
                <w:sz w:val="28"/>
                <w:szCs w:val="28"/>
              </w:rPr>
              <w:t xml:space="preserve"> роботи з ремонту електричних апаратів та освітлювальних електроустановок </w:t>
            </w:r>
          </w:p>
        </w:tc>
        <w:tc>
          <w:tcPr>
            <w:tcW w:w="1462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18</w:t>
            </w:r>
          </w:p>
        </w:tc>
      </w:tr>
      <w:tr w:rsidR="00014E42" w:rsidTr="00014E42">
        <w:tc>
          <w:tcPr>
            <w:tcW w:w="846" w:type="dxa"/>
          </w:tcPr>
          <w:p w:rsidR="00014E42" w:rsidRPr="004E5DE4" w:rsidRDefault="004E5DE4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DE4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14E42" w:rsidRPr="00E80833" w:rsidRDefault="00E80833" w:rsidP="00E80833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E80833">
              <w:rPr>
                <w:sz w:val="28"/>
                <w:szCs w:val="28"/>
              </w:rPr>
              <w:t>Виконання кваліфікаційної роботи</w:t>
            </w:r>
          </w:p>
        </w:tc>
        <w:tc>
          <w:tcPr>
            <w:tcW w:w="1462" w:type="dxa"/>
          </w:tcPr>
          <w:p w:rsidR="00014E42" w:rsidRPr="004E5DE4" w:rsidRDefault="00E80833" w:rsidP="00014E4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0EF5" w:rsidTr="00E80833">
        <w:tc>
          <w:tcPr>
            <w:tcW w:w="8217" w:type="dxa"/>
            <w:gridSpan w:val="2"/>
          </w:tcPr>
          <w:p w:rsidR="00B00EF5" w:rsidRPr="00B00EF5" w:rsidRDefault="00B00EF5" w:rsidP="00B00EF5">
            <w:pPr>
              <w:tabs>
                <w:tab w:val="left" w:pos="3060"/>
                <w:tab w:val="left" w:pos="709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00EF5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В</w:t>
            </w:r>
            <w:r w:rsidRPr="00B00EF5">
              <w:rPr>
                <w:b/>
                <w:sz w:val="28"/>
                <w:szCs w:val="28"/>
              </w:rPr>
              <w:t>сього:</w:t>
            </w:r>
          </w:p>
        </w:tc>
        <w:tc>
          <w:tcPr>
            <w:tcW w:w="1462" w:type="dxa"/>
          </w:tcPr>
          <w:p w:rsidR="00B00EF5" w:rsidRPr="00B00EF5" w:rsidRDefault="00B00EF5" w:rsidP="00014E42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  <w:r w:rsidRPr="00B00EF5">
              <w:rPr>
                <w:b/>
                <w:sz w:val="28"/>
                <w:szCs w:val="28"/>
              </w:rPr>
              <w:t>40</w:t>
            </w:r>
          </w:p>
        </w:tc>
      </w:tr>
    </w:tbl>
    <w:p w:rsidR="00014E42" w:rsidRDefault="00014E42" w:rsidP="00014E42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00EF5" w:rsidRDefault="00B00EF5" w:rsidP="00B00EF5">
      <w:pPr>
        <w:tabs>
          <w:tab w:val="left" w:pos="3060"/>
        </w:tabs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B00EF5">
        <w:rPr>
          <w:rFonts w:ascii="Times New Roman CYR" w:hAnsi="Times New Roman CYR"/>
          <w:b/>
          <w:sz w:val="28"/>
          <w:szCs w:val="28"/>
        </w:rPr>
        <w:t>Будова, технічне обслуговування та ремонт електричних апаратів.</w:t>
      </w:r>
    </w:p>
    <w:p w:rsidR="009D1E19" w:rsidRPr="009D1E19" w:rsidRDefault="009D1E19" w:rsidP="00E80833">
      <w:pPr>
        <w:ind w:firstLine="720"/>
        <w:jc w:val="both"/>
        <w:rPr>
          <w:sz w:val="28"/>
          <w:szCs w:val="28"/>
        </w:rPr>
      </w:pPr>
      <w:r w:rsidRPr="009D1E19">
        <w:rPr>
          <w:rFonts w:ascii="Times New Roman CYR" w:hAnsi="Times New Roman CYR"/>
          <w:sz w:val="28"/>
          <w:szCs w:val="28"/>
        </w:rPr>
        <w:t xml:space="preserve">Класифікація апаратів управління та захисту, їх технічні характеристики, галузі застосування. Конструкції та принципи дії апаратів управління та захисту </w:t>
      </w:r>
      <w:r w:rsidRPr="009D1E19">
        <w:rPr>
          <w:sz w:val="28"/>
          <w:szCs w:val="28"/>
        </w:rPr>
        <w:t>Електромагнітні пускачі, призначення та галузь застосування. Основні типи і серії пускачів.</w:t>
      </w:r>
    </w:p>
    <w:p w:rsidR="009D1E19" w:rsidRPr="009D1E19" w:rsidRDefault="009D1E19" w:rsidP="00E80833">
      <w:pPr>
        <w:ind w:firstLine="720"/>
        <w:jc w:val="both"/>
        <w:rPr>
          <w:sz w:val="28"/>
          <w:szCs w:val="28"/>
        </w:rPr>
      </w:pPr>
      <w:r w:rsidRPr="009D1E19">
        <w:rPr>
          <w:sz w:val="28"/>
          <w:szCs w:val="28"/>
        </w:rPr>
        <w:t>Електронні реле, призначення та класифікація за принципом дії. Основні параметри, приклади будови і застосування. Принцип д</w:t>
      </w:r>
      <w:r>
        <w:rPr>
          <w:sz w:val="28"/>
          <w:szCs w:val="28"/>
        </w:rPr>
        <w:t>ії інвертора, схема підключення та його призначення.</w:t>
      </w:r>
    </w:p>
    <w:p w:rsidR="00B00EF5" w:rsidRDefault="009D1E19" w:rsidP="00E80833">
      <w:pPr>
        <w:tabs>
          <w:tab w:val="left" w:pos="3060"/>
        </w:tabs>
        <w:jc w:val="both"/>
        <w:rPr>
          <w:sz w:val="28"/>
          <w:szCs w:val="28"/>
        </w:rPr>
      </w:pPr>
      <w:r w:rsidRPr="009D1E19">
        <w:rPr>
          <w:rFonts w:ascii="Times New Roman CYR" w:hAnsi="Times New Roman CYR"/>
          <w:b/>
          <w:sz w:val="28"/>
          <w:szCs w:val="28"/>
        </w:rPr>
        <w:t xml:space="preserve"> </w:t>
      </w:r>
      <w:r w:rsidRPr="009D1E19">
        <w:rPr>
          <w:sz w:val="28"/>
          <w:szCs w:val="28"/>
        </w:rPr>
        <w:t xml:space="preserve">Визначення технічного стану апаратів без розбирання. Основні види  </w:t>
      </w:r>
      <w:proofErr w:type="spellStart"/>
      <w:r w:rsidRPr="009D1E19">
        <w:rPr>
          <w:sz w:val="28"/>
          <w:szCs w:val="28"/>
        </w:rPr>
        <w:t>несправностей</w:t>
      </w:r>
      <w:proofErr w:type="spellEnd"/>
      <w:r w:rsidRPr="009D1E19">
        <w:rPr>
          <w:sz w:val="28"/>
          <w:szCs w:val="28"/>
        </w:rPr>
        <w:t xml:space="preserve"> пускорегулювальної апаратури</w:t>
      </w:r>
      <w:r>
        <w:rPr>
          <w:sz w:val="28"/>
          <w:szCs w:val="28"/>
        </w:rPr>
        <w:t>.</w:t>
      </w:r>
    </w:p>
    <w:p w:rsidR="009D1E19" w:rsidRPr="009D1E19" w:rsidRDefault="009D1E19" w:rsidP="00E80833">
      <w:pPr>
        <w:tabs>
          <w:tab w:val="left" w:pos="3060"/>
        </w:tabs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 xml:space="preserve">Принцип дії </w:t>
      </w:r>
      <w:proofErr w:type="spellStart"/>
      <w:r>
        <w:rPr>
          <w:sz w:val="28"/>
          <w:szCs w:val="28"/>
        </w:rPr>
        <w:t>вітрогенератору</w:t>
      </w:r>
      <w:proofErr w:type="spellEnd"/>
      <w:r>
        <w:rPr>
          <w:sz w:val="28"/>
          <w:szCs w:val="28"/>
        </w:rPr>
        <w:t>.</w:t>
      </w:r>
    </w:p>
    <w:p w:rsidR="00B00EF5" w:rsidRDefault="00B00EF5" w:rsidP="00014E42">
      <w:pPr>
        <w:tabs>
          <w:tab w:val="left" w:pos="3060"/>
        </w:tabs>
        <w:jc w:val="center"/>
        <w:rPr>
          <w:rFonts w:ascii="Times New Roman CYR" w:hAnsi="Times New Roman CYR"/>
          <w:b/>
          <w:sz w:val="28"/>
          <w:szCs w:val="28"/>
        </w:rPr>
      </w:pPr>
    </w:p>
    <w:p w:rsidR="00B00EF5" w:rsidRDefault="00B00EF5" w:rsidP="00014E42">
      <w:pPr>
        <w:tabs>
          <w:tab w:val="left" w:pos="3060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Тема 2. </w:t>
      </w:r>
      <w:r w:rsidRPr="00B00EF5">
        <w:rPr>
          <w:b/>
          <w:sz w:val="28"/>
          <w:szCs w:val="28"/>
        </w:rPr>
        <w:t>Будова, монтаж, технічне обслуговування та ремонт освітлювальних електроустановок</w:t>
      </w:r>
    </w:p>
    <w:p w:rsidR="00B00EF5" w:rsidRPr="00B00EF5" w:rsidRDefault="00B00EF5" w:rsidP="00E80833">
      <w:pPr>
        <w:tabs>
          <w:tab w:val="left" w:pos="851"/>
        </w:tabs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B00EF5">
        <w:rPr>
          <w:rFonts w:ascii="Times New Roman CYR" w:hAnsi="Times New Roman CYR"/>
          <w:b/>
          <w:i/>
          <w:iCs/>
          <w:sz w:val="28"/>
          <w:szCs w:val="28"/>
        </w:rPr>
        <w:t>Монтаж електропроводок</w:t>
      </w:r>
      <w:r w:rsidRPr="00B00EF5">
        <w:rPr>
          <w:rFonts w:ascii="Times New Roman CYR" w:hAnsi="Times New Roman CYR"/>
          <w:i/>
          <w:iCs/>
          <w:sz w:val="28"/>
          <w:szCs w:val="28"/>
        </w:rPr>
        <w:t>.</w:t>
      </w:r>
      <w:r w:rsidRPr="00B00EF5">
        <w:rPr>
          <w:rFonts w:ascii="Times New Roman CYR" w:hAnsi="Times New Roman CYR"/>
          <w:sz w:val="28"/>
          <w:szCs w:val="28"/>
        </w:rPr>
        <w:t xml:space="preserve"> Призначення електропроводок. Відкриті та сховані електропроводки, місце їх застосування. Вимоги до електропроводок. Види електропроводок та способи їх прокладання. Марки проводів і кабелів, які застосовуються для різних видів електропроводок. Інструмент та пристрої.</w:t>
      </w:r>
    </w:p>
    <w:p w:rsidR="00B00EF5" w:rsidRPr="00B00EF5" w:rsidRDefault="00B00EF5" w:rsidP="00E80833">
      <w:pPr>
        <w:pStyle w:val="21"/>
        <w:tabs>
          <w:tab w:val="left" w:pos="851"/>
        </w:tabs>
        <w:rPr>
          <w:rFonts w:ascii="Times New Roman CYR" w:hAnsi="Times New Roman CYR"/>
          <w:szCs w:val="28"/>
        </w:rPr>
      </w:pPr>
      <w:r w:rsidRPr="00B00EF5">
        <w:rPr>
          <w:rFonts w:ascii="Times New Roman CYR" w:hAnsi="Times New Roman CYR"/>
          <w:szCs w:val="28"/>
        </w:rPr>
        <w:t>Правила виконання уводів в  арматуру та електроустаткування. Монтаж арматури. Особливості монтажу у вибухонебезпечних приміщеннях. Перевірка нових</w:t>
      </w:r>
      <w:r w:rsidR="009D1E19">
        <w:rPr>
          <w:rFonts w:ascii="Times New Roman CYR" w:hAnsi="Times New Roman CYR"/>
          <w:szCs w:val="28"/>
        </w:rPr>
        <w:t xml:space="preserve"> електропроводок. Зварювання проводів.</w:t>
      </w:r>
      <w:r w:rsidRPr="00B00EF5">
        <w:rPr>
          <w:rFonts w:ascii="Times New Roman CYR" w:hAnsi="Times New Roman CYR"/>
          <w:szCs w:val="28"/>
        </w:rPr>
        <w:t xml:space="preserve"> Схеми  освітлювальних мереж. </w:t>
      </w:r>
    </w:p>
    <w:p w:rsidR="00B00EF5" w:rsidRPr="00B00EF5" w:rsidRDefault="00B00EF5" w:rsidP="00E80833">
      <w:pPr>
        <w:pStyle w:val="21"/>
        <w:tabs>
          <w:tab w:val="left" w:pos="851"/>
        </w:tabs>
        <w:rPr>
          <w:rFonts w:ascii="Times New Roman CYR" w:hAnsi="Times New Roman CYR"/>
          <w:szCs w:val="28"/>
        </w:rPr>
      </w:pPr>
      <w:r w:rsidRPr="00B00EF5">
        <w:rPr>
          <w:rFonts w:ascii="Times New Roman CYR" w:hAnsi="Times New Roman CYR"/>
          <w:szCs w:val="28"/>
        </w:rPr>
        <w:t>Монтаж світильників, приладів і розподільних пристроїв освітлювальних електроустановок.</w:t>
      </w:r>
      <w:r w:rsidR="009D1E19">
        <w:rPr>
          <w:rFonts w:ascii="Times New Roman CYR" w:hAnsi="Times New Roman CYR"/>
          <w:szCs w:val="28"/>
        </w:rPr>
        <w:t xml:space="preserve"> </w:t>
      </w:r>
    </w:p>
    <w:p w:rsidR="00B00EF5" w:rsidRPr="00B00EF5" w:rsidRDefault="00B00EF5" w:rsidP="00B00EF5">
      <w:pPr>
        <w:pStyle w:val="21"/>
        <w:tabs>
          <w:tab w:val="left" w:pos="851"/>
        </w:tabs>
        <w:rPr>
          <w:rFonts w:ascii="Times New Roman CYR" w:hAnsi="Times New Roman CYR"/>
          <w:szCs w:val="28"/>
        </w:rPr>
      </w:pPr>
      <w:r w:rsidRPr="00B00EF5">
        <w:rPr>
          <w:rFonts w:ascii="Times New Roman CYR" w:hAnsi="Times New Roman CYR"/>
          <w:szCs w:val="28"/>
        </w:rPr>
        <w:lastRenderedPageBreak/>
        <w:t>Правила технічної експлуатації освітлювальних електроустановок. Строки проведення планово-попереджувальних ремонтів і оглядів освітлювального обладнання. Контроль над ізоляцією електропроводок різного виду. Контроль за освітленістю основних приміщень. Очищення захисного скла та розсіювачів світильників.</w:t>
      </w:r>
    </w:p>
    <w:p w:rsidR="00B00EF5" w:rsidRPr="00B00EF5" w:rsidRDefault="00B00EF5" w:rsidP="00B00EF5">
      <w:pPr>
        <w:rPr>
          <w:sz w:val="28"/>
          <w:szCs w:val="28"/>
        </w:rPr>
      </w:pPr>
      <w:r w:rsidRPr="00B00EF5">
        <w:rPr>
          <w:rFonts w:ascii="Times New Roman CYR" w:hAnsi="Times New Roman CYR"/>
          <w:sz w:val="28"/>
          <w:szCs w:val="28"/>
        </w:rPr>
        <w:t>Порядок проведення оглядів. Послідовність ремонтних операцій при виявленні дефектів в освітлювальних установках і розподільних пристроях. Інструмент та пристрої. Безпека праці при обслуговуванні та ремонті освітлювальних електроустановок.</w:t>
      </w:r>
    </w:p>
    <w:p w:rsidR="00B00EF5" w:rsidRDefault="00B00EF5" w:rsidP="00014E42">
      <w:pPr>
        <w:tabs>
          <w:tab w:val="left" w:pos="3060"/>
        </w:tabs>
        <w:jc w:val="center"/>
        <w:rPr>
          <w:rFonts w:ascii="Times New Roman CYR" w:hAnsi="Times New Roman CYR"/>
          <w:b/>
          <w:sz w:val="28"/>
          <w:szCs w:val="28"/>
        </w:rPr>
      </w:pPr>
    </w:p>
    <w:p w:rsidR="002E2FFD" w:rsidRDefault="002E2FFD" w:rsidP="002E2FFD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Pr="002E2FFD">
        <w:rPr>
          <w:b/>
          <w:sz w:val="28"/>
          <w:szCs w:val="28"/>
        </w:rPr>
        <w:t>Відпрацювання практичних прийомів роботи з ремонту електричних апаратів та освітлювальних електроустановок</w:t>
      </w:r>
      <w:r>
        <w:rPr>
          <w:b/>
          <w:sz w:val="28"/>
          <w:szCs w:val="28"/>
        </w:rPr>
        <w:t>.</w:t>
      </w:r>
    </w:p>
    <w:p w:rsidR="002E2FFD" w:rsidRPr="002E2FFD" w:rsidRDefault="002E2FFD" w:rsidP="002E2FFD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E2FFD">
        <w:rPr>
          <w:rFonts w:ascii="Times New Roman" w:hAnsi="Times New Roman"/>
          <w:sz w:val="28"/>
          <w:szCs w:val="28"/>
        </w:rPr>
        <w:t xml:space="preserve">Інструктаж з охорони праці. </w:t>
      </w:r>
      <w:r w:rsidRPr="002E2FFD">
        <w:rPr>
          <w:rFonts w:ascii="Times New Roman" w:hAnsi="Times New Roman"/>
          <w:i/>
          <w:iCs/>
          <w:sz w:val="28"/>
          <w:szCs w:val="28"/>
        </w:rPr>
        <w:t>Монтаж установочної арматури  та  світильників.</w:t>
      </w:r>
      <w:r w:rsidRPr="002E2FFD">
        <w:rPr>
          <w:rFonts w:ascii="Times New Roman" w:hAnsi="Times New Roman"/>
          <w:sz w:val="28"/>
          <w:szCs w:val="28"/>
        </w:rPr>
        <w:t xml:space="preserve"> Установлення стельових і настінних лампових патронів і світильників. Підвіска світильників   при різних типах  електропроводки. Під´єднання проводу світильника до мережі за допомогою штепсельного роз´єму. Ізолювання місць з’єднання. Установлення штепсельних розеток,  вимикачів, кнопок. Установлення освітлювальних щитків,  пунктів.  Приєднання за  схемою проводок до  клем. </w:t>
      </w:r>
      <w:r>
        <w:rPr>
          <w:rFonts w:ascii="Times New Roman" w:hAnsi="Times New Roman"/>
          <w:sz w:val="28"/>
          <w:szCs w:val="28"/>
        </w:rPr>
        <w:t xml:space="preserve">Монтаж світлодіодного освітлення за допомогою сенсорних та дистанційних вимикачів. Монтаж </w:t>
      </w:r>
      <w:proofErr w:type="spellStart"/>
      <w:r>
        <w:rPr>
          <w:rFonts w:ascii="Times New Roman" w:hAnsi="Times New Roman"/>
          <w:sz w:val="28"/>
          <w:szCs w:val="28"/>
        </w:rPr>
        <w:t>дімерів</w:t>
      </w:r>
      <w:proofErr w:type="spellEnd"/>
      <w:r>
        <w:rPr>
          <w:rFonts w:ascii="Times New Roman" w:hAnsi="Times New Roman"/>
          <w:sz w:val="28"/>
          <w:szCs w:val="28"/>
        </w:rPr>
        <w:t xml:space="preserve">. Ремонт та монтаж інверторів, </w:t>
      </w:r>
      <w:proofErr w:type="spellStart"/>
      <w:r>
        <w:rPr>
          <w:rFonts w:ascii="Times New Roman" w:hAnsi="Times New Roman"/>
          <w:sz w:val="28"/>
          <w:szCs w:val="28"/>
        </w:rPr>
        <w:t>частотників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електронних дроселів.</w:t>
      </w:r>
    </w:p>
    <w:p w:rsidR="00B00EF5" w:rsidRPr="002E2FFD" w:rsidRDefault="00B00EF5" w:rsidP="002E2FFD">
      <w:pPr>
        <w:tabs>
          <w:tab w:val="left" w:pos="3060"/>
        </w:tabs>
        <w:jc w:val="center"/>
        <w:rPr>
          <w:sz w:val="28"/>
          <w:szCs w:val="28"/>
        </w:rPr>
      </w:pPr>
    </w:p>
    <w:sectPr w:rsidR="00B00EF5" w:rsidRPr="002E2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C9"/>
    <w:multiLevelType w:val="hybridMultilevel"/>
    <w:tmpl w:val="7B6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42"/>
    <w:rsid w:val="00014E42"/>
    <w:rsid w:val="002E2FFD"/>
    <w:rsid w:val="004E5DE4"/>
    <w:rsid w:val="00602FA0"/>
    <w:rsid w:val="009D1E19"/>
    <w:rsid w:val="00AC4E33"/>
    <w:rsid w:val="00B00EF5"/>
    <w:rsid w:val="00B57D6A"/>
    <w:rsid w:val="00D0792F"/>
    <w:rsid w:val="00E8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34DA"/>
  <w15:chartTrackingRefBased/>
  <w15:docId w15:val="{14151A7E-74E9-4357-873F-AA32E4F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42"/>
    <w:pPr>
      <w:ind w:left="720"/>
      <w:contextualSpacing/>
    </w:pPr>
  </w:style>
  <w:style w:type="paragraph" w:customStyle="1" w:styleId="21">
    <w:name w:val="Основной текст 21"/>
    <w:basedOn w:val="a"/>
    <w:rsid w:val="00B00EF5"/>
    <w:pPr>
      <w:ind w:firstLine="720"/>
      <w:jc w:val="both"/>
    </w:pPr>
    <w:rPr>
      <w:sz w:val="28"/>
      <w:szCs w:val="20"/>
    </w:rPr>
  </w:style>
  <w:style w:type="paragraph" w:styleId="a5">
    <w:name w:val="Plain Text"/>
    <w:basedOn w:val="a"/>
    <w:link w:val="a6"/>
    <w:rsid w:val="002E2FF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2E2FFD"/>
    <w:rPr>
      <w:rFonts w:ascii="Courier New" w:eastAsia="Times New Roman" w:hAnsi="Courier New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7048-B29D-46C8-BF59-5D50485A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</cp:revision>
  <dcterms:created xsi:type="dcterms:W3CDTF">2021-02-05T10:57:00Z</dcterms:created>
  <dcterms:modified xsi:type="dcterms:W3CDTF">2021-02-05T11:17:00Z</dcterms:modified>
</cp:coreProperties>
</file>